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0pt;width:612pt;height:436.35pt;mso-position-horizontal-relative:page;mso-position-vertical-relative:page;z-index:-15902208" coordorigin="0,0" coordsize="12240,8727">
            <v:rect style="position:absolute;left:0;top:4377;width:12240;height:4349" filled="true" fillcolor="#dcddde" stroked="false">
              <v:fill type="solid"/>
            </v:rect>
            <v:rect style="position:absolute;left:0;top:0;width:12240;height:4378" filled="true" fillcolor="#003044" stroked="false">
              <v:fill type="solid"/>
            </v:rect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18"/>
        </w:rPr>
      </w:pPr>
    </w:p>
    <w:p>
      <w:pPr>
        <w:pStyle w:val="Heading1"/>
        <w:spacing w:line="240" w:lineRule="auto" w:before="100"/>
      </w:pPr>
      <w:r>
        <w:rPr>
          <w:color w:val="B6AA38"/>
        </w:rPr>
        <w:t>Great Bear Rainforest Activity Plan</w:t>
      </w:r>
    </w:p>
    <w:p>
      <w:pPr>
        <w:pStyle w:val="BodyText"/>
        <w:spacing w:before="7"/>
        <w:ind w:left="0"/>
        <w:rPr>
          <w:rFonts w:ascii="OpenSans-Semibold"/>
          <w:b/>
          <w:sz w:val="63"/>
        </w:rPr>
      </w:pPr>
    </w:p>
    <w:p>
      <w:pPr>
        <w:pStyle w:val="Title"/>
      </w:pPr>
      <w:r>
        <w:rPr>
          <w:color w:val="B6AA38"/>
        </w:rPr>
        <w:t>Inquiry:</w:t>
      </w:r>
    </w:p>
    <w:p>
      <w:pPr>
        <w:pStyle w:val="Heading2"/>
        <w:spacing w:before="7"/>
      </w:pPr>
      <w:r>
        <w:rPr>
          <w:color w:val="FFFFFF"/>
        </w:rPr>
        <w:t>Who Lives in the Great Bear Rainforest?</w:t>
      </w:r>
    </w:p>
    <w:p>
      <w:pPr>
        <w:pStyle w:val="BodyText"/>
        <w:spacing w:before="6"/>
        <w:ind w:left="0"/>
        <w:rPr>
          <w:sz w:val="53"/>
        </w:rPr>
      </w:pPr>
    </w:p>
    <w:p>
      <w:pPr>
        <w:pStyle w:val="BodyText"/>
        <w:spacing w:line="256" w:lineRule="auto"/>
        <w:ind w:left="120"/>
      </w:pPr>
      <w:r>
        <w:rPr>
          <w:color w:val="231F20"/>
        </w:rPr>
        <w:t>Students will identify communities in the Great Bear Rainforest, write inquiry questions to guide their research on one of the First Nations, and present their findings to the class.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>
          <w:color w:val="003044"/>
        </w:rPr>
        <w:t>Learning Objectives</w:t>
      </w:r>
    </w:p>
    <w:p>
      <w:pPr>
        <w:pStyle w:val="BodyText"/>
        <w:spacing w:before="88"/>
        <w:ind w:left="120"/>
      </w:pPr>
      <w:r>
        <w:rPr>
          <w:color w:val="231F20"/>
        </w:rPr>
        <w:t>Students will: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40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Identify communities in the Great Bear Rainforest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51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Identify the economic livelihoods of Great Bear Rainforest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inhabitants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50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Research a First Nation in the Great Bear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Rainforest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50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Write inquiry questions to focus their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research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111" w:after="0"/>
        <w:ind w:left="748" w:right="0" w:hanging="450"/>
        <w:jc w:val="left"/>
        <w:rPr>
          <w:sz w:val="22"/>
        </w:rPr>
      </w:pPr>
      <w:r>
        <w:rPr>
          <w:color w:val="231F20"/>
          <w:sz w:val="22"/>
        </w:rPr>
        <w:t>Make a presentation to the class on their research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findings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2"/>
      </w:pPr>
      <w:r>
        <w:rPr>
          <w:color w:val="003044"/>
        </w:rPr>
        <w:t>Preparing for the Activity Plan</w:t>
      </w:r>
    </w:p>
    <w:p>
      <w:pPr>
        <w:pStyle w:val="BodyText"/>
        <w:spacing w:before="88"/>
        <w:ind w:left="120"/>
      </w:pPr>
      <w:r>
        <w:rPr>
          <w:color w:val="231F20"/>
        </w:rPr>
        <w:t>Read backgrounders listed in the materials section and watch the video.</w:t>
      </w:r>
    </w:p>
    <w:p>
      <w:pPr>
        <w:pStyle w:val="Heading2"/>
        <w:spacing w:before="148"/>
      </w:pPr>
      <w:r>
        <w:rPr>
          <w:color w:val="003044"/>
        </w:rPr>
        <w:t>Materials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8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computer / projector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50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student computers / tablets /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devices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11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internet access</w:t>
      </w:r>
    </w:p>
    <w:p>
      <w:pPr>
        <w:pStyle w:val="Heading3"/>
        <w:spacing w:before="164"/>
      </w:pPr>
      <w:r>
        <w:rPr>
          <w:color w:val="515F24"/>
        </w:rPr>
        <w:t>Blackline masters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81" w:after="0"/>
        <w:ind w:left="749" w:right="0" w:hanging="451"/>
        <w:jc w:val="left"/>
        <w:rPr>
          <w:sz w:val="22"/>
        </w:rPr>
      </w:pP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Nations of the Great Bear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Rainforest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816" w:top="0" w:bottom="1000" w:left="1320" w:right="1180"/>
          <w:pgNumType w:start="1"/>
        </w:sectPr>
      </w:pPr>
    </w:p>
    <w:p>
      <w:pPr>
        <w:pStyle w:val="Heading3"/>
        <w:spacing w:before="89"/>
      </w:pPr>
      <w:r>
        <w:rPr>
          <w:color w:val="515F24"/>
        </w:rPr>
        <w:t>Videos</w:t>
      </w:r>
    </w:p>
    <w:p>
      <w:pPr>
        <w:pStyle w:val="Heading6"/>
        <w:spacing w:before="81"/>
        <w:rPr>
          <w:b w:val="0"/>
        </w:rPr>
      </w:pPr>
      <w:r>
        <w:rPr>
          <w:color w:val="003044"/>
        </w:rPr>
        <w:t>First Nations History Overview </w:t>
      </w:r>
      <w:r>
        <w:rPr>
          <w:b w:val="0"/>
          <w:color w:val="003044"/>
        </w:rPr>
        <w:t>(14:00)</w:t>
      </w:r>
    </w:p>
    <w:p>
      <w:pPr>
        <w:pStyle w:val="BodyText"/>
        <w:spacing w:line="208" w:lineRule="auto" w:before="10"/>
        <w:ind w:left="120"/>
      </w:pPr>
      <w:r>
        <w:rPr>
          <w:color w:val="003044"/>
        </w:rPr>
        <w:t>Douglas Neasloss speaks about the history of the Kitasoo / Xai’ xais First Nations. </w:t>
      </w:r>
      <w:hyperlink r:id="rId6">
        <w:r>
          <w:rPr>
            <w:color w:val="205E9E"/>
            <w:u w:val="single" w:color="205E9E"/>
          </w:rPr>
          <w:t>https://www.youtube.com/watch?time_continue=52&amp;v=j7KJF_l71KE</w:t>
        </w:r>
      </w:hyperlink>
    </w:p>
    <w:p>
      <w:pPr>
        <w:pStyle w:val="Heading3"/>
        <w:spacing w:before="263"/>
      </w:pPr>
      <w:r>
        <w:rPr>
          <w:color w:val="515F24"/>
        </w:rPr>
        <w:t>Websites:</w:t>
      </w:r>
    </w:p>
    <w:p>
      <w:pPr>
        <w:pStyle w:val="Heading6"/>
        <w:spacing w:before="81"/>
      </w:pPr>
      <w:r>
        <w:rPr>
          <w:color w:val="003044"/>
        </w:rPr>
        <w:t>The Canadian Encyclopedia</w:t>
      </w:r>
    </w:p>
    <w:p>
      <w:pPr>
        <w:pStyle w:val="BodyText"/>
        <w:spacing w:line="208" w:lineRule="auto" w:before="11"/>
        <w:ind w:left="120"/>
      </w:pPr>
      <w:r>
        <w:rPr>
          <w:color w:val="003044"/>
        </w:rPr>
        <w:t>For research into communities of the Great Bear Rainforest </w:t>
      </w:r>
      <w:hyperlink r:id="rId7">
        <w:r>
          <w:rPr>
            <w:color w:val="205E9E"/>
            <w:u w:val="single" w:color="205E9E"/>
          </w:rPr>
          <w:t>https://www.thecanadianencyclopedia.ca</w:t>
        </w:r>
      </w:hyperlink>
    </w:p>
    <w:p>
      <w:pPr>
        <w:pStyle w:val="Heading6"/>
      </w:pPr>
      <w:r>
        <w:rPr>
          <w:color w:val="003044"/>
        </w:rPr>
        <w:t>Aboriginal Contacts - Basic Information</w:t>
      </w:r>
    </w:p>
    <w:p>
      <w:pPr>
        <w:pStyle w:val="BodyText"/>
        <w:spacing w:line="208" w:lineRule="auto" w:before="11"/>
        <w:ind w:left="119"/>
      </w:pPr>
      <w:r>
        <w:rPr>
          <w:color w:val="003044"/>
        </w:rPr>
        <w:t>Aboriginal Contacts - Basic Information, BC Ministry of Education web page. </w:t>
      </w:r>
      <w:hyperlink r:id="rId8">
        <w:r>
          <w:rPr>
            <w:color w:val="205E9E"/>
            <w:u w:val="single" w:color="205E9E"/>
          </w:rPr>
          <w:t>http://www.bced.gov.bc.ca/apps/imcl/imclWeb/AB.do</w:t>
        </w:r>
      </w:hyperlink>
    </w:p>
    <w:p>
      <w:pPr>
        <w:pStyle w:val="Heading6"/>
        <w:ind w:left="119"/>
      </w:pPr>
      <w:r>
        <w:rPr>
          <w:color w:val="003044"/>
        </w:rPr>
        <w:t>British Columbia First Nations</w:t>
      </w:r>
    </w:p>
    <w:p>
      <w:pPr>
        <w:pStyle w:val="BodyText"/>
        <w:spacing w:line="208" w:lineRule="auto" w:before="11"/>
        <w:ind w:left="119" w:right="2377"/>
      </w:pPr>
      <w:r>
        <w:rPr>
          <w:color w:val="003044"/>
        </w:rPr>
        <w:t>A map of the main communities of First Nations in BC </w:t>
      </w:r>
      <w:hyperlink r:id="rId9">
        <w:r>
          <w:rPr>
            <w:color w:val="205E9E"/>
            <w:u w:val="single" w:color="205E9E"/>
          </w:rPr>
          <w:t>https://apps.gov.bc.ca/pub/dmf-viewer/?siteid=5228028621212382210</w:t>
        </w:r>
      </w:hyperlink>
    </w:p>
    <w:p>
      <w:pPr>
        <w:pStyle w:val="Heading6"/>
        <w:ind w:left="119"/>
      </w:pPr>
      <w:r>
        <w:rPr>
          <w:color w:val="003044"/>
        </w:rPr>
        <w:t>Marine Planning Partnership (MaPP) Marine Planning Portal</w:t>
      </w:r>
    </w:p>
    <w:p>
      <w:pPr>
        <w:pStyle w:val="BodyText"/>
        <w:spacing w:line="208" w:lineRule="auto" w:before="11"/>
        <w:ind w:left="119" w:right="467"/>
      </w:pPr>
      <w:r>
        <w:rPr>
          <w:color w:val="003044"/>
        </w:rPr>
        <w:t>Filter information as follows: Administrative Areas &gt; Boundaries and Areas &gt; First Nations Communities  </w:t>
      </w:r>
      <w:hyperlink r:id="rId10">
        <w:r>
          <w:rPr>
            <w:color w:val="205E9E"/>
            <w:u w:val="single" w:color="205E9E"/>
          </w:rPr>
          <w:t>https://www.seasketch.org/#projecthomepage/50e58ab28aba4075183f8fc0</w:t>
        </w:r>
      </w:hyperlink>
    </w:p>
    <w:p>
      <w:pPr>
        <w:pStyle w:val="BodyText"/>
        <w:spacing w:before="11"/>
        <w:ind w:left="0"/>
        <w:rPr>
          <w:sz w:val="34"/>
        </w:rPr>
      </w:pPr>
    </w:p>
    <w:p>
      <w:pPr>
        <w:pStyle w:val="Heading2"/>
      </w:pPr>
      <w:r>
        <w:rPr>
          <w:color w:val="003044"/>
        </w:rPr>
        <w:t>Delivering the Activity Plan</w:t>
      </w:r>
    </w:p>
    <w:p>
      <w:pPr>
        <w:pStyle w:val="Heading3"/>
        <w:spacing w:before="202"/>
      </w:pPr>
      <w:r>
        <w:rPr>
          <w:color w:val="515F24"/>
        </w:rPr>
        <w:t>Access Prior Knowledge</w:t>
      </w:r>
    </w:p>
    <w:p>
      <w:pPr>
        <w:pStyle w:val="BodyText"/>
        <w:spacing w:line="256" w:lineRule="auto" w:before="81"/>
        <w:ind w:left="120" w:right="1144"/>
      </w:pPr>
      <w:r>
        <w:rPr>
          <w:b/>
          <w:color w:val="003044"/>
        </w:rPr>
        <w:t>Review: </w:t>
      </w:r>
      <w:r>
        <w:rPr>
          <w:color w:val="231F20"/>
        </w:rPr>
        <w:t>Geography of the Great Bear Rainforest, and especially the communities in the region.</w:t>
      </w:r>
    </w:p>
    <w:p>
      <w:pPr>
        <w:pStyle w:val="Heading5"/>
        <w:spacing w:before="158"/>
      </w:pPr>
      <w:r>
        <w:rPr>
          <w:color w:val="003044"/>
        </w:rPr>
        <w:t>Discuss: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34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Considering the geography of the region </w:t>
      </w:r>
      <w:r>
        <w:rPr>
          <w:color w:val="231F20"/>
          <w:spacing w:val="2"/>
          <w:sz w:val="22"/>
        </w:rPr>
        <w:t>they’ve </w:t>
      </w:r>
      <w:r>
        <w:rPr>
          <w:color w:val="231F20"/>
          <w:sz w:val="22"/>
        </w:rPr>
        <w:t>learned about, ask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students:</w:t>
      </w:r>
    </w:p>
    <w:p>
      <w:pPr>
        <w:pStyle w:val="BodyText"/>
        <w:tabs>
          <w:tab w:pos="1469" w:val="left" w:leader="none"/>
        </w:tabs>
        <w:spacing w:line="208" w:lineRule="auto" w:before="81"/>
        <w:ind w:left="1469" w:right="535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might the physical environment of the Great Bear Rainforest influence how people live in that</w:t>
      </w:r>
      <w:r>
        <w:rPr>
          <w:color w:val="231F20"/>
          <w:spacing w:val="-1"/>
        </w:rPr>
        <w:t> </w:t>
      </w:r>
      <w:r>
        <w:rPr>
          <w:color w:val="231F20"/>
        </w:rPr>
        <w:t>region?</w:t>
      </w:r>
    </w:p>
    <w:p>
      <w:pPr>
        <w:pStyle w:val="BodyText"/>
        <w:tabs>
          <w:tab w:pos="1469" w:val="left" w:leader="none"/>
        </w:tabs>
        <w:spacing w:before="59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natural resources might be found?</w:t>
      </w:r>
    </w:p>
    <w:p>
      <w:pPr>
        <w:pStyle w:val="BodyText"/>
        <w:tabs>
          <w:tab w:pos="1469" w:val="left" w:leader="none"/>
        </w:tabs>
        <w:spacing w:before="50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Why did communities develop where they did?</w:t>
      </w:r>
    </w:p>
    <w:p>
      <w:pPr>
        <w:pStyle w:val="BodyText"/>
        <w:tabs>
          <w:tab w:pos="1469" w:val="left" w:leader="none"/>
        </w:tabs>
        <w:spacing w:before="50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means of transportation do people use?</w:t>
      </w:r>
    </w:p>
    <w:p>
      <w:pPr>
        <w:spacing w:after="0"/>
        <w:sectPr>
          <w:pgSz w:w="12240" w:h="15840"/>
          <w:pgMar w:header="0" w:footer="816" w:top="1260" w:bottom="1000" w:left="1320" w:right="1180"/>
        </w:sectPr>
      </w:pPr>
    </w:p>
    <w:p>
      <w:pPr>
        <w:spacing w:before="70"/>
        <w:ind w:left="120" w:right="0" w:firstLine="0"/>
        <w:jc w:val="left"/>
        <w:rPr>
          <w:rFonts w:ascii="OpenSans-Semibold"/>
          <w:b/>
          <w:sz w:val="36"/>
        </w:rPr>
      </w:pPr>
      <w:r>
        <w:rPr>
          <w:rFonts w:ascii="OpenSans-Semibold"/>
          <w:b/>
          <w:color w:val="515F24"/>
          <w:sz w:val="36"/>
        </w:rPr>
        <w:t>Inquire</w:t>
      </w:r>
    </w:p>
    <w:p>
      <w:pPr>
        <w:pStyle w:val="Heading1"/>
        <w:tabs>
          <w:tab w:pos="2279" w:val="left" w:leader="none"/>
        </w:tabs>
        <w:spacing w:before="251"/>
      </w:pPr>
      <w:r>
        <w:rPr>
          <w:color w:val="003044"/>
        </w:rPr>
        <w:t>Activity</w:t>
      </w:r>
      <w:r>
        <w:rPr>
          <w:color w:val="003044"/>
          <w:spacing w:val="3"/>
        </w:rPr>
        <w:t> </w:t>
      </w:r>
      <w:r>
        <w:rPr>
          <w:color w:val="003044"/>
          <w:spacing w:val="-12"/>
        </w:rPr>
        <w:t>1:</w:t>
        <w:tab/>
      </w:r>
      <w:r>
        <w:rPr>
          <w:color w:val="003044"/>
          <w:spacing w:val="-4"/>
        </w:rPr>
        <w:t>Communities </w:t>
      </w:r>
      <w:r>
        <w:rPr>
          <w:color w:val="003044"/>
        </w:rPr>
        <w:t>in</w:t>
      </w:r>
      <w:r>
        <w:rPr>
          <w:color w:val="003044"/>
          <w:spacing w:val="4"/>
        </w:rPr>
        <w:t> </w:t>
      </w:r>
      <w:r>
        <w:rPr>
          <w:color w:val="003044"/>
          <w:spacing w:val="-2"/>
        </w:rPr>
        <w:t>the</w:t>
      </w:r>
    </w:p>
    <w:p>
      <w:pPr>
        <w:spacing w:line="502" w:lineRule="exact" w:before="0"/>
        <w:ind w:left="2246" w:right="3266" w:firstLine="0"/>
        <w:jc w:val="center"/>
        <w:rPr>
          <w:rFonts w:ascii="OpenSans-Semibold"/>
          <w:b/>
          <w:sz w:val="40"/>
        </w:rPr>
      </w:pPr>
      <w:r>
        <w:rPr>
          <w:rFonts w:ascii="OpenSans-Semibold"/>
          <w:b/>
          <w:color w:val="003044"/>
          <w:sz w:val="40"/>
        </w:rPr>
        <w:t>Great Bear Rainforest</w:t>
      </w:r>
    </w:p>
    <w:p>
      <w:pPr>
        <w:spacing w:line="225" w:lineRule="auto" w:before="142"/>
        <w:ind w:left="119" w:right="539" w:firstLine="0"/>
        <w:jc w:val="left"/>
        <w:rPr>
          <w:sz w:val="24"/>
        </w:rPr>
      </w:pPr>
      <w:r>
        <w:rPr>
          <w:color w:val="231F20"/>
          <w:sz w:val="24"/>
        </w:rPr>
        <w:t>Prior to class, view the Great Bear Rainforest Region interactive map </w:t>
      </w:r>
      <w:hyperlink r:id="rId11">
        <w:r>
          <w:rPr>
            <w:color w:val="205E9E"/>
            <w:sz w:val="22"/>
            <w:u w:val="single" w:color="205E9E"/>
          </w:rPr>
          <w:t>http://bcgov03.maps.arcgis.com/apps/webappviewer/index.html?id=6fcc0a171c024bd79</w:t>
        </w:r>
      </w:hyperlink>
      <w:r>
        <w:rPr>
          <w:color w:val="205E9E"/>
          <w:sz w:val="22"/>
        </w:rPr>
        <w:t> </w:t>
      </w:r>
      <w:hyperlink r:id="rId11">
        <w:r>
          <w:rPr>
            <w:color w:val="205E9E"/>
            <w:sz w:val="22"/>
            <w:u w:val="single" w:color="205E9E"/>
          </w:rPr>
          <w:t>3032ed140d7bac4</w:t>
        </w:r>
        <w:r>
          <w:rPr>
            <w:color w:val="205E9E"/>
            <w:sz w:val="22"/>
          </w:rPr>
          <w:t> </w:t>
        </w:r>
      </w:hyperlink>
      <w:r>
        <w:rPr>
          <w:color w:val="231F20"/>
          <w:sz w:val="24"/>
        </w:rPr>
        <w:t>and familiarize yourself with the communities in the Great Bear Rainforest.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43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Project the interactive map to the class to show the communities in the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GBR.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08" w:lineRule="auto" w:before="81" w:after="0"/>
        <w:ind w:left="749" w:right="593" w:hanging="450"/>
        <w:jc w:val="left"/>
        <w:rPr>
          <w:sz w:val="22"/>
        </w:rPr>
      </w:pPr>
      <w:r>
        <w:rPr>
          <w:color w:val="231F20"/>
          <w:sz w:val="22"/>
        </w:rPr>
        <w:t>Ask the class if anyone has visited or lived in any of these communities. If so, have the student(s) describe the region.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08" w:lineRule="auto" w:before="88" w:after="0"/>
        <w:ind w:left="749" w:right="652" w:hanging="450"/>
        <w:jc w:val="left"/>
        <w:rPr>
          <w:sz w:val="22"/>
        </w:rPr>
      </w:pPr>
      <w:r>
        <w:rPr>
          <w:color w:val="231F20"/>
          <w:sz w:val="22"/>
        </w:rPr>
        <w:t>On the Great Bear Rainforest Region interactive map</w:t>
      </w:r>
      <w:r>
        <w:rPr>
          <w:color w:val="205E9E"/>
          <w:sz w:val="22"/>
        </w:rPr>
        <w:t> </w:t>
      </w:r>
      <w:hyperlink r:id="rId11">
        <w:r>
          <w:rPr>
            <w:color w:val="205E9E"/>
            <w:sz w:val="22"/>
            <w:u w:val="single" w:color="205E9E"/>
          </w:rPr>
          <w:t>http://bcgov03.maps.arcgis.</w:t>
        </w:r>
      </w:hyperlink>
      <w:hyperlink r:id="rId11">
        <w:r>
          <w:rPr>
            <w:color w:val="205E9E"/>
            <w:sz w:val="22"/>
            <w:u w:val="single" w:color="205E9E"/>
          </w:rPr>
          <w:t> com/apps/webappviewer/index.html?id=6fcc0a171c024bd793032ed140d7bac4</w:t>
        </w:r>
      </w:hyperlink>
      <w:r>
        <w:rPr>
          <w:color w:val="231F20"/>
          <w:sz w:val="22"/>
        </w:rPr>
        <w:t>, zoom in to point out seven communities: Bella Bella, Bella Coola, Hartley Bay, Kitimat, Klemtu, Ocean Falls, and Prince Rupert.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57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Ask the class what questions they have about these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communities.</w:t>
      </w:r>
    </w:p>
    <w:p>
      <w:pPr>
        <w:pStyle w:val="BodyText"/>
        <w:spacing w:line="208" w:lineRule="auto" w:before="251"/>
      </w:pPr>
      <w:r>
        <w:rPr>
          <w:color w:val="231F20"/>
        </w:rPr>
        <w:t>(Examples could be: What do people do for a living in that community? What kinds of transportation are available? What is the population of Indigenous compared to non-</w:t>
      </w:r>
    </w:p>
    <w:p>
      <w:pPr>
        <w:pStyle w:val="BodyText"/>
        <w:spacing w:before="29"/>
      </w:pPr>
      <w:r>
        <w:rPr>
          <w:color w:val="231F20"/>
        </w:rPr>
        <w:t>Indigenous people in the GBR?)</w:t>
      </w:r>
    </w:p>
    <w:p>
      <w:pPr>
        <w:pStyle w:val="Heading3"/>
        <w:spacing w:before="164"/>
      </w:pPr>
      <w:r>
        <w:rPr>
          <w:color w:val="515F24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08" w:lineRule="auto" w:before="148" w:after="0"/>
        <w:ind w:left="749" w:right="627" w:hanging="450"/>
        <w:jc w:val="left"/>
        <w:rPr>
          <w:sz w:val="22"/>
        </w:rPr>
      </w:pPr>
      <w:r>
        <w:rPr>
          <w:color w:val="231F20"/>
          <w:sz w:val="22"/>
        </w:rPr>
        <w:t>Divide the class into groups according to the seven communities in the GBR (Bella Bella, Bella Coola, Hartley Bay, Kitimat, Klemtu, Ocean Falls, and Prince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Rupert).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58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Have each group research the following about their community:</w:t>
      </w:r>
    </w:p>
    <w:p>
      <w:pPr>
        <w:pStyle w:val="BodyText"/>
        <w:tabs>
          <w:tab w:pos="1469" w:val="left" w:leader="none"/>
        </w:tabs>
        <w:spacing w:before="50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Population</w:t>
      </w:r>
    </w:p>
    <w:p>
      <w:pPr>
        <w:pStyle w:val="BodyText"/>
        <w:tabs>
          <w:tab w:pos="1469" w:val="left" w:leader="none"/>
        </w:tabs>
        <w:spacing w:line="208" w:lineRule="auto" w:before="81"/>
        <w:ind w:left="1469" w:right="820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kinds of industries are in the community? (mining, forestry, fishing, tourism, etc.) What do people do for a living in the</w:t>
      </w:r>
      <w:r>
        <w:rPr>
          <w:color w:val="231F20"/>
          <w:spacing w:val="-5"/>
        </w:rPr>
        <w:t> </w:t>
      </w:r>
      <w:r>
        <w:rPr>
          <w:color w:val="231F20"/>
        </w:rPr>
        <w:t>community?</w:t>
      </w:r>
    </w:p>
    <w:p>
      <w:pPr>
        <w:pStyle w:val="BodyText"/>
        <w:tabs>
          <w:tab w:pos="1469" w:val="left" w:leader="none"/>
        </w:tabs>
        <w:spacing w:line="208" w:lineRule="auto" w:before="89"/>
        <w:ind w:left="1469" w:right="902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One interesting fact about the community </w:t>
      </w:r>
      <w:r>
        <w:rPr>
          <w:color w:val="231F20"/>
          <w:spacing w:val="-4"/>
        </w:rPr>
        <w:t>(a </w:t>
      </w:r>
      <w:r>
        <w:rPr>
          <w:color w:val="231F20"/>
        </w:rPr>
        <w:t>historical fact or an annual community event or celebration,</w:t>
      </w:r>
      <w:r>
        <w:rPr>
          <w:color w:val="231F20"/>
          <w:spacing w:val="-1"/>
        </w:rPr>
        <w:t> </w:t>
      </w:r>
      <w:r>
        <w:rPr>
          <w:color w:val="231F20"/>
        </w:rPr>
        <w:t>etc.).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08" w:lineRule="auto" w:before="89" w:after="0"/>
        <w:ind w:left="749" w:right="627" w:hanging="450"/>
        <w:jc w:val="left"/>
        <w:rPr>
          <w:sz w:val="22"/>
        </w:rPr>
      </w:pPr>
      <w:r>
        <w:rPr>
          <w:color w:val="231F20"/>
          <w:sz w:val="22"/>
        </w:rPr>
        <w:t>Each group chooses one person to role play the mayor of their community who is </w:t>
      </w:r>
      <w:r>
        <w:rPr>
          <w:color w:val="231F20"/>
          <w:spacing w:val="2"/>
          <w:sz w:val="22"/>
        </w:rPr>
        <w:t>trying </w:t>
      </w:r>
      <w:r>
        <w:rPr>
          <w:color w:val="231F20"/>
          <w:sz w:val="22"/>
        </w:rPr>
        <w:t>to </w:t>
      </w:r>
      <w:r>
        <w:rPr>
          <w:color w:val="231F20"/>
          <w:spacing w:val="2"/>
          <w:sz w:val="22"/>
        </w:rPr>
        <w:t>attract </w:t>
      </w:r>
      <w:r>
        <w:rPr>
          <w:color w:val="231F20"/>
          <w:sz w:val="22"/>
        </w:rPr>
        <w:t>new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employees.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08" w:lineRule="auto" w:before="89" w:after="0"/>
        <w:ind w:left="748" w:right="708" w:hanging="450"/>
        <w:jc w:val="left"/>
        <w:rPr>
          <w:sz w:val="22"/>
        </w:rPr>
      </w:pPr>
      <w:r>
        <w:rPr>
          <w:color w:val="231F20"/>
          <w:sz w:val="22"/>
        </w:rPr>
        <w:t>Have </w:t>
      </w:r>
      <w:r>
        <w:rPr>
          <w:color w:val="231F20"/>
          <w:spacing w:val="2"/>
          <w:sz w:val="22"/>
        </w:rPr>
        <w:t>“the </w:t>
      </w:r>
      <w:r>
        <w:rPr>
          <w:color w:val="231F20"/>
          <w:sz w:val="22"/>
        </w:rPr>
        <w:t>mayor” from one community role play with a “potential employee” (volunteer from another group). The mayor provides </w:t>
      </w:r>
      <w:r>
        <w:rPr>
          <w:color w:val="231F20"/>
          <w:spacing w:val="2"/>
          <w:sz w:val="22"/>
        </w:rPr>
        <w:t>facts </w:t>
      </w:r>
      <w:r>
        <w:rPr>
          <w:color w:val="231F20"/>
          <w:sz w:val="22"/>
        </w:rPr>
        <w:t>from the research </w:t>
      </w:r>
      <w:r>
        <w:rPr>
          <w:color w:val="231F20"/>
          <w:spacing w:val="-2"/>
          <w:sz w:val="22"/>
        </w:rPr>
        <w:t>(economy, </w:t>
      </w:r>
      <w:r>
        <w:rPr>
          <w:color w:val="231F20"/>
          <w:sz w:val="22"/>
        </w:rPr>
        <w:t>industry, and sense of the community) to </w:t>
      </w:r>
      <w:r>
        <w:rPr>
          <w:color w:val="231F20"/>
          <w:spacing w:val="4"/>
          <w:sz w:val="22"/>
        </w:rPr>
        <w:t>try </w:t>
      </w:r>
      <w:r>
        <w:rPr>
          <w:color w:val="231F20"/>
          <w:sz w:val="22"/>
        </w:rPr>
        <w:t>to convince the potential employee to move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there.</w:t>
      </w:r>
    </w:p>
    <w:p>
      <w:pPr>
        <w:spacing w:after="0" w:line="208" w:lineRule="auto"/>
        <w:jc w:val="left"/>
        <w:rPr>
          <w:sz w:val="22"/>
        </w:rPr>
        <w:sectPr>
          <w:pgSz w:w="12240" w:h="15840"/>
          <w:pgMar w:header="0" w:footer="816" w:top="1260" w:bottom="1000" w:left="1320" w:right="1180"/>
        </w:sect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73" w:after="0"/>
        <w:ind w:left="749" w:right="416" w:hanging="450"/>
        <w:jc w:val="left"/>
        <w:rPr>
          <w:sz w:val="24"/>
        </w:rPr>
      </w:pPr>
      <w:r>
        <w:rPr>
          <w:color w:val="231F20"/>
          <w:sz w:val="22"/>
        </w:rPr>
        <w:t>Make sure each group (community)has been represented. </w:t>
      </w:r>
      <w:r>
        <w:rPr>
          <w:color w:val="231F20"/>
          <w:spacing w:val="3"/>
          <w:sz w:val="22"/>
        </w:rPr>
        <w:t>As </w:t>
      </w:r>
      <w:r>
        <w:rPr>
          <w:color w:val="231F20"/>
          <w:sz w:val="22"/>
        </w:rPr>
        <w:t>a class, discuss what that students learned about the various communities in the Great Bear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4"/>
        </w:rPr>
        <w:t>Rainforest.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5"/>
        <w:ind w:left="389"/>
      </w:pPr>
      <w:r>
        <w:rPr>
          <w:color w:val="231F20"/>
        </w:rPr>
        <w:t>Assess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45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Did each student contribute to 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research?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10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How did students participate / engage in the role </w:t>
      </w:r>
      <w:r>
        <w:rPr>
          <w:color w:val="231F20"/>
          <w:spacing w:val="-3"/>
          <w:sz w:val="22"/>
        </w:rPr>
        <w:t>play?</w:t>
      </w:r>
    </w:p>
    <w:p>
      <w:pPr>
        <w:pStyle w:val="Heading3"/>
      </w:pPr>
      <w:r>
        <w:rPr>
          <w:color w:val="515F24"/>
        </w:rPr>
        <w:t>Explore</w:t>
      </w:r>
    </w:p>
    <w:p>
      <w:pPr>
        <w:pStyle w:val="BodyText"/>
        <w:spacing w:line="256" w:lineRule="auto" w:before="81"/>
        <w:ind w:left="390" w:right="1144"/>
      </w:pPr>
      <w:r>
        <w:rPr>
          <w:color w:val="231F20"/>
        </w:rPr>
        <w:t>Direct students to the Great Bear Rainforest educational website for further information.</w:t>
      </w:r>
    </w:p>
    <w:p>
      <w:pPr>
        <w:spacing w:after="0" w:line="256" w:lineRule="auto"/>
        <w:sectPr>
          <w:pgSz w:w="12240" w:h="15840"/>
          <w:pgMar w:header="0" w:footer="816" w:top="1300" w:bottom="1000" w:left="1320" w:right="1180"/>
        </w:sectPr>
      </w:pPr>
    </w:p>
    <w:p>
      <w:pPr>
        <w:spacing w:before="70"/>
        <w:ind w:left="120" w:right="0" w:firstLine="0"/>
        <w:jc w:val="left"/>
        <w:rPr>
          <w:rFonts w:ascii="OpenSans-Semibold"/>
          <w:b/>
          <w:sz w:val="36"/>
        </w:rPr>
      </w:pPr>
      <w:r>
        <w:rPr>
          <w:rFonts w:ascii="OpenSans-Semibold"/>
          <w:b/>
          <w:color w:val="515F24"/>
          <w:sz w:val="36"/>
        </w:rPr>
        <w:t>Inquire</w:t>
      </w:r>
    </w:p>
    <w:p>
      <w:pPr>
        <w:pStyle w:val="Heading1"/>
        <w:tabs>
          <w:tab w:pos="2279" w:val="left" w:leader="none"/>
        </w:tabs>
        <w:spacing w:before="287"/>
      </w:pPr>
      <w:r>
        <w:rPr>
          <w:color w:val="003044"/>
        </w:rPr>
        <w:t>Activity</w:t>
      </w:r>
      <w:r>
        <w:rPr>
          <w:color w:val="003044"/>
          <w:spacing w:val="3"/>
        </w:rPr>
        <w:t> </w:t>
      </w:r>
      <w:r>
        <w:rPr>
          <w:color w:val="003044"/>
        </w:rPr>
        <w:t>2:</w:t>
        <w:tab/>
        <w:t>First </w:t>
      </w:r>
      <w:r>
        <w:rPr>
          <w:color w:val="003044"/>
          <w:spacing w:val="-3"/>
        </w:rPr>
        <w:t>Nations </w:t>
      </w:r>
      <w:r>
        <w:rPr>
          <w:color w:val="003044"/>
        </w:rPr>
        <w:t>of</w:t>
      </w:r>
      <w:r>
        <w:rPr>
          <w:color w:val="003044"/>
          <w:spacing w:val="3"/>
        </w:rPr>
        <w:t> </w:t>
      </w:r>
      <w:r>
        <w:rPr>
          <w:color w:val="003044"/>
          <w:spacing w:val="-2"/>
        </w:rPr>
        <w:t>the</w:t>
      </w:r>
    </w:p>
    <w:p>
      <w:pPr>
        <w:spacing w:line="502" w:lineRule="exact" w:before="0"/>
        <w:ind w:left="2246" w:right="3266" w:firstLine="0"/>
        <w:jc w:val="center"/>
        <w:rPr>
          <w:rFonts w:ascii="OpenSans-Semibold"/>
          <w:b/>
          <w:sz w:val="40"/>
        </w:rPr>
      </w:pPr>
      <w:r>
        <w:rPr>
          <w:rFonts w:ascii="OpenSans-Semibold"/>
          <w:b/>
          <w:color w:val="003044"/>
          <w:sz w:val="40"/>
        </w:rPr>
        <w:t>Great Bear Rainforest</w:t>
      </w:r>
    </w:p>
    <w:p>
      <w:pPr>
        <w:pStyle w:val="Heading4"/>
        <w:spacing w:before="404"/>
      </w:pPr>
      <w:r>
        <w:rPr>
          <w:color w:val="515F24"/>
        </w:rPr>
        <w:t>Part A: First Nations Communities in BC</w:t>
      </w:r>
    </w:p>
    <w:p>
      <w:pPr>
        <w:spacing w:line="235" w:lineRule="auto" w:before="163"/>
        <w:ind w:left="120" w:right="672" w:firstLine="0"/>
        <w:jc w:val="left"/>
        <w:rPr>
          <w:sz w:val="24"/>
        </w:rPr>
      </w:pPr>
      <w:r>
        <w:rPr>
          <w:color w:val="231F20"/>
          <w:sz w:val="24"/>
        </w:rPr>
        <w:t>Tell students that there are approximately 200,000 indigenous people in BC from 198 distinct First Nations. Within this population, there are thirty different languages and close to sixty different dialects.</w:t>
      </w:r>
    </w:p>
    <w:p>
      <w:pPr>
        <w:spacing w:line="235" w:lineRule="auto" w:before="0"/>
        <w:ind w:left="119" w:right="535" w:firstLine="0"/>
        <w:jc w:val="left"/>
        <w:rPr>
          <w:sz w:val="24"/>
        </w:rPr>
      </w:pPr>
      <w:r>
        <w:rPr>
          <w:color w:val="231F20"/>
          <w:sz w:val="24"/>
        </w:rPr>
        <w:t>Also show the main communities of First Nations in BC on the Great Bear </w:t>
      </w:r>
      <w:hyperlink r:id="rId12">
        <w:r>
          <w:rPr>
            <w:color w:val="231F20"/>
            <w:sz w:val="24"/>
          </w:rPr>
          <w:t>Rainforest Region interactive map </w:t>
        </w:r>
        <w:r>
          <w:rPr>
            <w:color w:val="205E9E"/>
            <w:spacing w:val="-5"/>
            <w:sz w:val="22"/>
            <w:u w:val="single" w:color="205E9E"/>
          </w:rPr>
          <w:t>https://governmentofbc.maps.arcgis.com/home/</w:t>
        </w:r>
        <w:r>
          <w:rPr>
            <w:color w:val="205E9E"/>
            <w:spacing w:val="-5"/>
            <w:sz w:val="22"/>
          </w:rPr>
          <w:t> </w:t>
        </w:r>
        <w:r>
          <w:rPr>
            <w:color w:val="205E9E"/>
            <w:spacing w:val="-5"/>
            <w:sz w:val="22"/>
            <w:u w:val="single" w:color="205E9E"/>
          </w:rPr>
          <w:t>webmap/viewer.html?webmap=ffd0fc24f8654e82ad723c012d00b806</w:t>
        </w:r>
        <w:r>
          <w:rPr>
            <w:color w:val="231F20"/>
            <w:spacing w:val="-5"/>
            <w:sz w:val="24"/>
          </w:rPr>
          <w:t>.</w:t>
        </w:r>
      </w:hyperlink>
    </w:p>
    <w:p>
      <w:pPr>
        <w:pStyle w:val="ListParagraph"/>
        <w:numPr>
          <w:ilvl w:val="1"/>
          <w:numId w:val="1"/>
        </w:numPr>
        <w:tabs>
          <w:tab w:pos="749" w:val="left" w:leader="none"/>
          <w:tab w:pos="750" w:val="left" w:leader="none"/>
        </w:tabs>
        <w:spacing w:line="208" w:lineRule="auto" w:before="168" w:after="0"/>
        <w:ind w:left="749" w:right="396" w:hanging="360"/>
        <w:jc w:val="left"/>
        <w:rPr>
          <w:sz w:val="22"/>
        </w:rPr>
      </w:pPr>
      <w:r>
        <w:rPr>
          <w:color w:val="231F20"/>
          <w:spacing w:val="-5"/>
          <w:sz w:val="22"/>
        </w:rPr>
        <w:t>Tell </w:t>
      </w:r>
      <w:r>
        <w:rPr>
          <w:color w:val="231F20"/>
          <w:sz w:val="22"/>
        </w:rPr>
        <w:t>students archeological evidence dates </w:t>
      </w: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Nations settlements in the Great Bear Rainforest to more than 10,000 years ago (from the end of the most recent Ice Age). </w:t>
      </w:r>
      <w:r>
        <w:rPr>
          <w:color w:val="231F20"/>
          <w:spacing w:val="-5"/>
          <w:sz w:val="22"/>
        </w:rPr>
        <w:t>Today, </w:t>
      </w:r>
      <w:r>
        <w:rPr>
          <w:color w:val="231F20"/>
          <w:sz w:val="22"/>
        </w:rPr>
        <w:t>the population of coastal </w:t>
      </w: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Nations is estimated at 18,000 to 20,000. Their histories, identities, and spirituality are linked to the lands and waters of the rainforest.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08" w:lineRule="auto" w:before="87" w:after="0"/>
        <w:ind w:left="749" w:right="998" w:hanging="360"/>
        <w:jc w:val="both"/>
        <w:rPr>
          <w:sz w:val="22"/>
        </w:rPr>
      </w:pP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Nations living on BC’s coast are not a single people. Each First Nation has distinct traditions, languages, and oral histories. </w:t>
      </w: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Nations have traditional territories in the Great Bear Rainforest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region.</w:t>
      </w:r>
    </w:p>
    <w:p>
      <w:pPr>
        <w:pStyle w:val="BodyText"/>
        <w:spacing w:line="208" w:lineRule="auto"/>
        <w:ind w:right="535"/>
      </w:pPr>
      <w:r>
        <w:rPr>
          <w:b/>
          <w:color w:val="231F20"/>
        </w:rPr>
        <w:t>Note: </w:t>
      </w:r>
      <w:r>
        <w:rPr>
          <w:color w:val="231F20"/>
        </w:rPr>
        <w:t>Discuss the concept of asking “powerful” inquiry questions. Powerful questions don’t possess a yes/no answer, a “right” answer, or just one answer, but have a multiplicity of possible responses. Powerful inquiry questions lead to more questions, which drive the researcher to find out more about their subject.</w:t>
      </w:r>
    </w:p>
    <w:p>
      <w:pPr>
        <w:pStyle w:val="BodyText"/>
        <w:spacing w:before="76"/>
        <w:ind w:left="389"/>
      </w:pPr>
      <w:r>
        <w:rPr>
          <w:color w:val="231F20"/>
        </w:rPr>
        <w:t>[See the resource, ‘Generating “Powerful” Questions’ in the Activity Plan Appendix.]</w:t>
      </w:r>
    </w:p>
    <w:p>
      <w:pPr>
        <w:spacing w:after="0"/>
        <w:sectPr>
          <w:pgSz w:w="12240" w:h="15840"/>
          <w:pgMar w:header="0" w:footer="816" w:top="1260" w:bottom="1000" w:left="1320" w:right="1180"/>
        </w:sectPr>
      </w:pPr>
    </w:p>
    <w:p>
      <w:pPr>
        <w:pStyle w:val="Heading4"/>
      </w:pPr>
      <w:r>
        <w:rPr>
          <w:color w:val="515F24"/>
        </w:rPr>
        <w:t>Part B: Research First Nations in the Great Bear Rainforest</w:t>
      </w:r>
    </w:p>
    <w:p>
      <w:pPr>
        <w:pStyle w:val="BodyText"/>
        <w:spacing w:line="208" w:lineRule="auto" w:before="153"/>
        <w:ind w:left="390"/>
      </w:pPr>
      <w:r>
        <w:rPr>
          <w:color w:val="231F20"/>
        </w:rPr>
        <w:t>As a class, watch the “First Nations History Overview” video, in which Douglas Neasloss speaks about the history of the Kitasoo / Xai’ xais First Nations.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6"/>
        <w:spacing w:before="0"/>
        <w:ind w:left="390"/>
      </w:pPr>
      <w:r>
        <w:rPr>
          <w:color w:val="231F20"/>
        </w:rPr>
        <w:t>First Nations History Overview (14:00)</w:t>
      </w:r>
    </w:p>
    <w:p>
      <w:pPr>
        <w:pStyle w:val="BodyText"/>
        <w:spacing w:line="208" w:lineRule="auto" w:before="11"/>
        <w:ind w:left="390"/>
      </w:pPr>
      <w:r>
        <w:rPr>
          <w:color w:val="231F20"/>
        </w:rPr>
        <w:t>Douglas Neasloss speaks about the history of the Kitasoo / Xai’ xais First Nations. </w:t>
      </w:r>
      <w:hyperlink r:id="rId6">
        <w:r>
          <w:rPr>
            <w:color w:val="205E9E"/>
            <w:u w:val="single" w:color="205E9E"/>
          </w:rPr>
          <w:t>https://www.youtube.com/watch?time_continue=52&amp;v=j7KJF_l71KE</w:t>
        </w:r>
      </w:hyperlink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08" w:lineRule="auto" w:before="89" w:after="0"/>
        <w:ind w:left="479" w:right="491" w:hanging="360"/>
        <w:jc w:val="left"/>
        <w:rPr>
          <w:sz w:val="22"/>
        </w:rPr>
      </w:pPr>
      <w:r>
        <w:rPr>
          <w:color w:val="231F20"/>
          <w:sz w:val="22"/>
        </w:rPr>
        <w:t>Have students jot down words or terms from the video for which they don’t know the meaning, or for which they want to know more. Examples may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include:</w:t>
      </w:r>
    </w:p>
    <w:p>
      <w:pPr>
        <w:pStyle w:val="BodyText"/>
        <w:tabs>
          <w:tab w:pos="1469" w:val="left" w:leader="none"/>
        </w:tabs>
        <w:spacing w:before="148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governance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potlatch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big house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regalia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nomadic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oolichan </w:t>
      </w:r>
      <w:r>
        <w:rPr>
          <w:color w:val="231F20"/>
          <w:spacing w:val="-3"/>
        </w:rPr>
        <w:t>(also:</w:t>
      </w:r>
      <w:r>
        <w:rPr>
          <w:color w:val="231F20"/>
          <w:spacing w:val="-2"/>
        </w:rPr>
        <w:t> </w:t>
      </w:r>
      <w:r>
        <w:rPr>
          <w:color w:val="231F20"/>
        </w:rPr>
        <w:t>eulachon)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abalone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hereditary (chief)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arranged</w:t>
      </w:r>
      <w:r>
        <w:rPr>
          <w:color w:val="231F20"/>
          <w:spacing w:val="-1"/>
        </w:rPr>
        <w:t> </w:t>
      </w:r>
      <w:r>
        <w:rPr>
          <w:color w:val="231F20"/>
        </w:rPr>
        <w:t>marriage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smallpox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reserve </w:t>
      </w:r>
      <w:r>
        <w:rPr>
          <w:color w:val="231F20"/>
          <w:spacing w:val="2"/>
        </w:rPr>
        <w:t>system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residential</w:t>
      </w:r>
      <w:r>
        <w:rPr>
          <w:color w:val="231F20"/>
          <w:spacing w:val="-1"/>
        </w:rPr>
        <w:t> </w:t>
      </w:r>
      <w:r>
        <w:rPr>
          <w:color w:val="231F20"/>
        </w:rPr>
        <w:t>schools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80" w:lineRule="exact" w:before="0" w:after="0"/>
        <w:ind w:left="749" w:right="0" w:hanging="361"/>
        <w:jc w:val="left"/>
        <w:rPr>
          <w:sz w:val="22"/>
        </w:rPr>
      </w:pPr>
      <w:r>
        <w:rPr>
          <w:color w:val="231F20"/>
          <w:sz w:val="22"/>
        </w:rPr>
        <w:t>After viewing, discuss. Ask students what words in the video they’re unfamiliar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with.</w:t>
      </w:r>
    </w:p>
    <w:p>
      <w:pPr>
        <w:pStyle w:val="BodyText"/>
        <w:spacing w:line="280" w:lineRule="exact"/>
      </w:pPr>
      <w:r>
        <w:rPr>
          <w:color w:val="231F20"/>
        </w:rPr>
        <w:t>Write them down on board or a flipchart.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08" w:lineRule="auto" w:before="81" w:after="0"/>
        <w:ind w:left="749" w:right="388" w:hanging="360"/>
        <w:jc w:val="left"/>
        <w:rPr>
          <w:sz w:val="22"/>
        </w:rPr>
      </w:pPr>
      <w:r>
        <w:rPr>
          <w:color w:val="231F20"/>
          <w:sz w:val="22"/>
        </w:rPr>
        <w:t>Did the video answer any of students’ initial inquiries? What other inquiry questions did the video trigger? Write down questions and post where the class can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see.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23" w:lineRule="auto" w:before="75" w:after="0"/>
        <w:ind w:left="749" w:right="707" w:hanging="360"/>
        <w:jc w:val="left"/>
        <w:rPr>
          <w:sz w:val="22"/>
        </w:rPr>
      </w:pPr>
      <w:r>
        <w:rPr>
          <w:color w:val="231F20"/>
          <w:sz w:val="22"/>
        </w:rPr>
        <w:t>Give students </w:t>
      </w:r>
      <w:r>
        <w:rPr>
          <w:color w:val="231F20"/>
          <w:spacing w:val="-7"/>
          <w:sz w:val="22"/>
        </w:rPr>
        <w:t>15 </w:t>
      </w:r>
      <w:r>
        <w:rPr>
          <w:color w:val="231F20"/>
          <w:sz w:val="22"/>
        </w:rPr>
        <w:t>minutes to research the meaning of the words / terms from the video. Come back as a class and write down definitions.</w:t>
      </w:r>
    </w:p>
    <w:p>
      <w:pPr>
        <w:spacing w:after="0" w:line="223" w:lineRule="auto"/>
        <w:jc w:val="left"/>
        <w:rPr>
          <w:sz w:val="22"/>
        </w:rPr>
        <w:sectPr>
          <w:pgSz w:w="12240" w:h="15840"/>
          <w:pgMar w:header="0" w:footer="816" w:top="1280" w:bottom="1000" w:left="1320" w:right="1180"/>
        </w:sectPr>
      </w:pPr>
    </w:p>
    <w:p>
      <w:pPr>
        <w:spacing w:before="89"/>
        <w:ind w:left="120" w:right="0" w:firstLine="0"/>
        <w:jc w:val="left"/>
        <w:rPr>
          <w:rFonts w:ascii="OpenSans-Semibold"/>
          <w:b/>
          <w:sz w:val="30"/>
        </w:rPr>
      </w:pPr>
      <w:r>
        <w:rPr>
          <w:rFonts w:ascii="OpenSans-Semibold"/>
          <w:b/>
          <w:color w:val="515F24"/>
          <w:sz w:val="30"/>
        </w:rPr>
        <w:t>Experience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  <w:tab w:pos="750" w:val="left" w:leader="none"/>
        </w:tabs>
        <w:spacing w:line="240" w:lineRule="auto" w:before="317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Groups present their inquiry research to 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class.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4339"/>
      </w:tblGrid>
      <w:tr>
        <w:trPr>
          <w:trHeight w:val="588" w:hRule="atLeast"/>
        </w:trPr>
        <w:tc>
          <w:tcPr>
            <w:tcW w:w="8794" w:type="dxa"/>
            <w:gridSpan w:val="2"/>
            <w:shd w:val="clear" w:color="auto" w:fill="003144"/>
          </w:tcPr>
          <w:p>
            <w:pPr>
              <w:pStyle w:val="TableParagraph"/>
              <w:spacing w:line="240" w:lineRule="auto" w:before="28"/>
              <w:ind w:left="584"/>
              <w:rPr>
                <w:rFonts w:ascii="OpenSans-Semibold"/>
                <w:b/>
                <w:sz w:val="38"/>
              </w:rPr>
            </w:pPr>
            <w:r>
              <w:rPr>
                <w:rFonts w:ascii="OpenSans-Semibold"/>
                <w:b/>
                <w:color w:val="FFFFFF"/>
                <w:sz w:val="38"/>
              </w:rPr>
              <w:t>First Nations of the Great Bear</w:t>
            </w:r>
            <w:r>
              <w:rPr>
                <w:rFonts w:ascii="OpenSans-Semibold"/>
                <w:b/>
                <w:color w:val="FFFFFF"/>
                <w:spacing w:val="60"/>
                <w:sz w:val="38"/>
              </w:rPr>
              <w:t> </w:t>
            </w:r>
            <w:r>
              <w:rPr>
                <w:rFonts w:ascii="OpenSans-Semibold"/>
                <w:b/>
                <w:color w:val="FFFFFF"/>
                <w:sz w:val="38"/>
              </w:rPr>
              <w:t>Rainforest</w:t>
            </w:r>
          </w:p>
        </w:tc>
      </w:tr>
      <w:tr>
        <w:trPr>
          <w:trHeight w:val="641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spacing w:line="240" w:lineRule="auto" w:before="11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3"/>
              </w:rPr>
            </w:pPr>
            <w:r>
              <w:rPr>
                <w:color w:val="003144"/>
                <w:sz w:val="23"/>
              </w:rPr>
              <w:t>Nisga’a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spacing w:line="240" w:lineRule="auto" w:before="11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Metlakatla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Kitselas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Haisla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Lax Kw’alaams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Gitga’at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Kitsumkalum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Heiltsuk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Gwa’sala-‘Nakwaxda’xw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Nuxalk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Gitxaala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Ulkatcho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Kitasoo/Xai’xais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Wuikinuxv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Gwawaenuk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Da’naxda’xw/Awaetlala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Dzawada’enuxw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‘Namgis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Tlowitsis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Xwémalhkwu (Homalco)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Kwiakah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K’ómoks</w:t>
            </w:r>
          </w:p>
        </w:tc>
      </w:tr>
      <w:tr>
        <w:trPr>
          <w:trHeight w:val="348" w:hRule="atLeast"/>
        </w:trPr>
        <w:tc>
          <w:tcPr>
            <w:tcW w:w="4455" w:type="dxa"/>
            <w:shd w:val="clear" w:color="auto" w:fill="E9E5C3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3144"/>
                <w:sz w:val="23"/>
              </w:rPr>
              <w:t>Kwikwasut'inuxw Haxwa'mis</w:t>
            </w:r>
          </w:p>
        </w:tc>
        <w:tc>
          <w:tcPr>
            <w:tcW w:w="4339" w:type="dxa"/>
            <w:shd w:val="clear" w:color="auto" w:fill="E9E5C3"/>
          </w:tcPr>
          <w:p>
            <w:pPr>
              <w:pStyle w:val="TableParagraph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Mamalilikulla-Qwe’Qwa’Sot’Em</w:t>
            </w:r>
          </w:p>
        </w:tc>
      </w:tr>
      <w:tr>
        <w:trPr>
          <w:trHeight w:val="831" w:hRule="atLeast"/>
        </w:trPr>
        <w:tc>
          <w:tcPr>
            <w:tcW w:w="4455" w:type="dxa"/>
            <w:tcBorders>
              <w:bottom w:val="single" w:sz="48" w:space="0" w:color="8A979B"/>
            </w:tcBorders>
            <w:shd w:val="clear" w:color="auto" w:fill="E9E5C3"/>
          </w:tcPr>
          <w:p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003144"/>
                <w:sz w:val="23"/>
              </w:rPr>
              <w:t>We Wai Kai (Cape Mudge)</w:t>
            </w:r>
          </w:p>
        </w:tc>
        <w:tc>
          <w:tcPr>
            <w:tcW w:w="4339" w:type="dxa"/>
            <w:tcBorders>
              <w:bottom w:val="single" w:sz="48" w:space="0" w:color="8A979B"/>
            </w:tcBorders>
            <w:shd w:val="clear" w:color="auto" w:fill="E9E5C3"/>
          </w:tcPr>
          <w:p>
            <w:pPr>
              <w:pStyle w:val="TableParagraph"/>
              <w:spacing w:line="240" w:lineRule="auto"/>
              <w:ind w:left="536"/>
              <w:rPr>
                <w:sz w:val="23"/>
              </w:rPr>
            </w:pPr>
            <w:r>
              <w:rPr>
                <w:color w:val="003144"/>
                <w:sz w:val="23"/>
              </w:rPr>
              <w:t>Wei Wai Kum (Campbell River)</w:t>
            </w:r>
          </w:p>
        </w:tc>
      </w:tr>
    </w:tbl>
    <w:p>
      <w:pPr>
        <w:pStyle w:val="BodyText"/>
        <w:spacing w:before="1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08" w:lineRule="auto" w:before="0" w:after="0"/>
        <w:ind w:left="479" w:right="925" w:hanging="360"/>
        <w:jc w:val="left"/>
        <w:rPr>
          <w:sz w:val="22"/>
        </w:rPr>
      </w:pPr>
      <w:r>
        <w:rPr>
          <w:color w:val="231F20"/>
          <w:spacing w:val="3"/>
          <w:sz w:val="22"/>
        </w:rPr>
        <w:t>As </w:t>
      </w:r>
      <w:r>
        <w:rPr>
          <w:color w:val="231F20"/>
          <w:sz w:val="22"/>
        </w:rPr>
        <w:t>a class, create an assessment rubric for the research and presentation of their findings.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08" w:lineRule="auto" w:before="143" w:after="0"/>
        <w:ind w:left="479" w:right="552" w:hanging="360"/>
        <w:jc w:val="left"/>
        <w:rPr>
          <w:sz w:val="22"/>
        </w:rPr>
      </w:pPr>
      <w:r>
        <w:rPr>
          <w:color w:val="231F20"/>
          <w:sz w:val="22"/>
        </w:rPr>
        <w:t>Divide students into pairs, and either assign or have each pair choose a </w:t>
      </w: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 from the list to research. The following information should be provided for each First Nation:</w:t>
      </w:r>
    </w:p>
    <w:p>
      <w:pPr>
        <w:pStyle w:val="BodyText"/>
        <w:tabs>
          <w:tab w:pos="1469" w:val="left" w:leader="none"/>
        </w:tabs>
        <w:spacing w:before="11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is the name of the </w:t>
      </w:r>
      <w:r>
        <w:rPr>
          <w:color w:val="231F20"/>
          <w:spacing w:val="2"/>
        </w:rPr>
        <w:t>First </w:t>
      </w:r>
      <w:r>
        <w:rPr>
          <w:color w:val="231F20"/>
        </w:rPr>
        <w:t>Nation</w:t>
      </w:r>
      <w:r>
        <w:rPr>
          <w:color w:val="231F20"/>
          <w:spacing w:val="-3"/>
        </w:rPr>
        <w:t> </w:t>
      </w:r>
      <w:r>
        <w:rPr>
          <w:color w:val="231F20"/>
        </w:rPr>
        <w:t>pronounced?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Where is the </w:t>
      </w:r>
      <w:r>
        <w:rPr>
          <w:color w:val="231F20"/>
          <w:spacing w:val="2"/>
        </w:rPr>
        <w:t>First </w:t>
      </w:r>
      <w:r>
        <w:rPr>
          <w:color w:val="231F20"/>
        </w:rPr>
        <w:t>Nations community</w:t>
      </w:r>
      <w:r>
        <w:rPr>
          <w:color w:val="231F20"/>
          <w:spacing w:val="-1"/>
        </w:rPr>
        <w:t> </w:t>
      </w:r>
      <w:r>
        <w:rPr>
          <w:color w:val="231F20"/>
        </w:rPr>
        <w:t>located?</w:t>
      </w:r>
    </w:p>
    <w:p>
      <w:pPr>
        <w:pStyle w:val="BodyText"/>
        <w:tabs>
          <w:tab w:pos="1469" w:val="left" w:leader="none"/>
        </w:tabs>
        <w:spacing w:before="50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many people live in the</w:t>
      </w:r>
      <w:r>
        <w:rPr>
          <w:color w:val="231F20"/>
          <w:spacing w:val="-1"/>
        </w:rPr>
        <w:t> </w:t>
      </w:r>
      <w:r>
        <w:rPr>
          <w:color w:val="231F20"/>
        </w:rPr>
        <w:t>community?</w:t>
      </w:r>
    </w:p>
    <w:p>
      <w:pPr>
        <w:pStyle w:val="BodyText"/>
        <w:tabs>
          <w:tab w:pos="1469" w:val="left" w:leader="none"/>
        </w:tabs>
        <w:spacing w:before="51"/>
        <w:ind w:left="111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language(s) are spoken by the</w:t>
      </w:r>
      <w:r>
        <w:rPr>
          <w:color w:val="231F20"/>
          <w:spacing w:val="-3"/>
        </w:rPr>
        <w:t> </w:t>
      </w:r>
      <w:r>
        <w:rPr>
          <w:color w:val="231F20"/>
        </w:rPr>
        <w:t>community?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08" w:lineRule="auto" w:before="81" w:after="0"/>
        <w:ind w:left="479" w:right="405" w:hanging="360"/>
        <w:jc w:val="left"/>
        <w:rPr>
          <w:sz w:val="22"/>
        </w:rPr>
      </w:pPr>
      <w:r>
        <w:rPr>
          <w:color w:val="231F20"/>
          <w:sz w:val="22"/>
        </w:rPr>
        <w:t>Have students either choose an inquiry question already posted in class or have them write a new inquiry question on the </w:t>
      </w:r>
      <w:r>
        <w:rPr>
          <w:color w:val="231F20"/>
          <w:spacing w:val="2"/>
          <w:sz w:val="22"/>
        </w:rPr>
        <w:t>First </w:t>
      </w:r>
      <w:r>
        <w:rPr>
          <w:color w:val="231F20"/>
          <w:sz w:val="22"/>
        </w:rPr>
        <w:t>Nations community each pair has been assigned to research. </w:t>
      </w:r>
      <w:r>
        <w:rPr>
          <w:color w:val="231F20"/>
          <w:spacing w:val="-5"/>
          <w:sz w:val="22"/>
        </w:rPr>
        <w:t>Tell </w:t>
      </w:r>
      <w:r>
        <w:rPr>
          <w:color w:val="231F20"/>
          <w:sz w:val="22"/>
        </w:rPr>
        <w:t>groups they will be presenting their findings to the class. Let students decide how they wish to present their work: poster, </w:t>
      </w:r>
      <w:r>
        <w:rPr>
          <w:color w:val="231F20"/>
          <w:spacing w:val="3"/>
          <w:sz w:val="22"/>
        </w:rPr>
        <w:t>art, </w:t>
      </w:r>
      <w:r>
        <w:rPr>
          <w:color w:val="231F20"/>
          <w:sz w:val="22"/>
        </w:rPr>
        <w:t>video, play, tableaux, etc.</w:t>
      </w:r>
    </w:p>
    <w:p>
      <w:pPr>
        <w:spacing w:after="0" w:line="208" w:lineRule="auto"/>
        <w:jc w:val="left"/>
        <w:rPr>
          <w:sz w:val="22"/>
        </w:rPr>
        <w:sectPr>
          <w:pgSz w:w="12240" w:h="15840"/>
          <w:pgMar w:header="0" w:footer="816" w:top="1260" w:bottom="1000" w:left="1320" w:right="1180"/>
        </w:sectPr>
      </w:pPr>
    </w:p>
    <w:p>
      <w:pPr>
        <w:pStyle w:val="BodyText"/>
        <w:spacing w:line="208" w:lineRule="auto" w:before="103"/>
        <w:ind w:left="120"/>
      </w:pPr>
      <w:r>
        <w:rPr>
          <w:color w:val="231F20"/>
        </w:rPr>
        <w:t>Note: Make sure students’ inquiry questions are broad enough for the research and presentation.</w:t>
      </w:r>
    </w:p>
    <w:p>
      <w:pPr>
        <w:pStyle w:val="BodyText"/>
        <w:tabs>
          <w:tab w:pos="1469" w:val="left" w:leader="none"/>
        </w:tabs>
        <w:spacing w:line="216" w:lineRule="auto" w:before="136"/>
        <w:ind w:left="1469" w:right="465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In addition to researching the websites listed, encourage students to set up phone or video calls with the </w:t>
      </w:r>
      <w:r>
        <w:rPr>
          <w:color w:val="231F20"/>
          <w:spacing w:val="2"/>
        </w:rPr>
        <w:t>First </w:t>
      </w:r>
      <w:r>
        <w:rPr>
          <w:color w:val="231F20"/>
        </w:rPr>
        <w:t>Nations communities through the Central Coast Aboriginal Education</w:t>
      </w:r>
      <w:r>
        <w:rPr>
          <w:color w:val="231F20"/>
          <w:spacing w:val="-1"/>
        </w:rPr>
        <w:t> </w:t>
      </w:r>
      <w:r>
        <w:rPr>
          <w:color w:val="231F20"/>
        </w:rPr>
        <w:t>Coordinators.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40" w:lineRule="auto" w:before="118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Groups present their inquiry research to 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class.</w:t>
      </w:r>
    </w:p>
    <w:p>
      <w:pPr>
        <w:pStyle w:val="Heading3"/>
      </w:pPr>
      <w:r>
        <w:rPr>
          <w:color w:val="515F24"/>
        </w:rPr>
        <w:t>Explore</w:t>
      </w:r>
    </w:p>
    <w:p>
      <w:pPr>
        <w:pStyle w:val="BodyText"/>
        <w:spacing w:before="141"/>
        <w:ind w:left="120"/>
      </w:pPr>
      <w:r>
        <w:rPr>
          <w:color w:val="231F20"/>
        </w:rPr>
        <w:t>Direct students to the Great Bear Rainforest educational website for further information.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5"/>
      </w:pPr>
      <w:r>
        <w:rPr>
          <w:color w:val="231F20"/>
        </w:rPr>
        <w:t>Assess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40" w:lineRule="auto" w:before="135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Did each student create an inquiry question, or contribute to the discussion?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40" w:lineRule="auto" w:before="50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How did students engage in the class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discussion?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40" w:lineRule="auto" w:before="51" w:after="0"/>
        <w:ind w:left="749" w:right="0" w:hanging="451"/>
        <w:jc w:val="left"/>
        <w:rPr>
          <w:sz w:val="22"/>
        </w:rPr>
      </w:pPr>
      <w:r>
        <w:rPr>
          <w:color w:val="231F20"/>
          <w:sz w:val="22"/>
        </w:rPr>
        <w:t>Presentation rubric (create as 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class)</w:t>
      </w:r>
    </w:p>
    <w:p>
      <w:pPr>
        <w:pStyle w:val="Heading3"/>
      </w:pPr>
      <w:r>
        <w:rPr>
          <w:color w:val="515F24"/>
        </w:rPr>
        <w:t>Go Beyond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750" w:val="left" w:leader="none"/>
        </w:tabs>
        <w:spacing w:line="208" w:lineRule="auto" w:before="111" w:after="0"/>
        <w:ind w:left="749" w:right="354" w:hanging="450"/>
        <w:jc w:val="left"/>
        <w:rPr>
          <w:sz w:val="22"/>
        </w:rPr>
      </w:pPr>
      <w:r>
        <w:rPr>
          <w:color w:val="231F20"/>
          <w:sz w:val="22"/>
        </w:rPr>
        <w:t>Have students research an </w:t>
      </w:r>
      <w:r>
        <w:rPr>
          <w:color w:val="231F20"/>
          <w:spacing w:val="2"/>
          <w:sz w:val="22"/>
        </w:rPr>
        <w:t>artist, </w:t>
      </w:r>
      <w:r>
        <w:rPr>
          <w:color w:val="231F20"/>
          <w:sz w:val="22"/>
        </w:rPr>
        <w:t>musician, or writer from the Great Bear Rainforest past or present, to investigate the connection and messages about GBR that the person communicates in their creative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works.</w:t>
      </w:r>
    </w:p>
    <w:p>
      <w:pPr>
        <w:pStyle w:val="BodyText"/>
        <w:tabs>
          <w:tab w:pos="1469" w:val="left" w:leader="none"/>
        </w:tabs>
        <w:spacing w:before="58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does this creative work contribute to a sense of identity and</w:t>
      </w:r>
      <w:r>
        <w:rPr>
          <w:color w:val="231F20"/>
          <w:spacing w:val="10"/>
        </w:rPr>
        <w:t> </w:t>
      </w:r>
      <w:r>
        <w:rPr>
          <w:color w:val="231F20"/>
        </w:rPr>
        <w:t>community?</w:t>
      </w:r>
    </w:p>
    <w:p>
      <w:pPr>
        <w:pStyle w:val="BodyText"/>
        <w:tabs>
          <w:tab w:pos="1469" w:val="left" w:leader="none"/>
        </w:tabs>
        <w:spacing w:before="50"/>
        <w:ind w:left="110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can this creative work help us expand our understanding and inspire</w:t>
      </w:r>
      <w:r>
        <w:rPr>
          <w:color w:val="231F20"/>
          <w:spacing w:val="2"/>
        </w:rPr>
        <w:t> </w:t>
      </w:r>
      <w:r>
        <w:rPr>
          <w:color w:val="231F20"/>
        </w:rPr>
        <w:t>us?</w:t>
      </w:r>
    </w:p>
    <w:p>
      <w:pPr>
        <w:spacing w:after="0"/>
        <w:sectPr>
          <w:pgSz w:w="12240" w:h="15840"/>
          <w:pgMar w:header="0" w:footer="816" w:top="1300" w:bottom="1000" w:left="1320" w:right="1180"/>
        </w:sectPr>
      </w:pPr>
    </w:p>
    <w:p>
      <w:pPr>
        <w:pStyle w:val="Heading1"/>
        <w:spacing w:line="240" w:lineRule="auto" w:before="78"/>
      </w:pPr>
      <w:r>
        <w:rPr>
          <w:color w:val="003044"/>
        </w:rPr>
        <w:t>Appendix: Generating “Powerful” Questions.”</w:t>
      </w:r>
    </w:p>
    <w:p>
      <w:pPr>
        <w:pStyle w:val="BodyText"/>
        <w:spacing w:line="208" w:lineRule="auto" w:before="118"/>
        <w:ind w:left="1110" w:right="449"/>
      </w:pPr>
      <w:r>
        <w:rPr>
          <w:color w:val="231F20"/>
        </w:rPr>
        <w:t>Questioning is part of the inquiry-based approach to teaching and learning. Inquiry- based learning will be new for some students (and teachers). For more resources on this approach, go to the “Teacher Area” of the companion website. </w:t>
      </w:r>
      <w:hyperlink r:id="rId13">
        <w:r>
          <w:rPr>
            <w:color w:val="231F20"/>
          </w:rPr>
          <w:t>http://www.openschool.bc.ca/elementary/my_seasonal_round/</w:t>
        </w:r>
      </w:hyperlink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08" w:lineRule="auto" w:before="1"/>
        <w:ind w:left="1110"/>
      </w:pPr>
      <w:r>
        <w:rPr>
          <w:color w:val="231F20"/>
        </w:rPr>
        <w:t>Tools for Generating Questions details how to help students construct both “searching” and “powerful” questions.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08" w:lineRule="auto"/>
        <w:ind w:left="1110" w:right="535"/>
      </w:pPr>
      <w:r>
        <w:rPr>
          <w:color w:val="231F20"/>
        </w:rPr>
        <w:t>Begin this unit with a mini-lesson on how to generate “powerful” questions — ones that aren’t answered with “yes” or “no” or a single word.</w:t>
      </w: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08" w:lineRule="auto" w:before="89" w:after="0"/>
        <w:ind w:left="1469" w:right="451" w:hanging="360"/>
        <w:jc w:val="left"/>
        <w:rPr>
          <w:sz w:val="22"/>
        </w:rPr>
      </w:pPr>
      <w:r>
        <w:rPr>
          <w:color w:val="231F20"/>
          <w:sz w:val="22"/>
        </w:rPr>
        <w:t>Copy the image below on poster paper where it will be displayed for the whole unit. </w:t>
      </w:r>
      <w:r>
        <w:rPr>
          <w:color w:val="231F20"/>
          <w:spacing w:val="-4"/>
          <w:sz w:val="22"/>
        </w:rPr>
        <w:t>You </w:t>
      </w:r>
      <w:r>
        <w:rPr>
          <w:color w:val="231F20"/>
          <w:sz w:val="22"/>
        </w:rPr>
        <w:t>may also create handouts for students using “How powerful is your question?” (Blackline Masters, page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1926630</wp:posOffset>
            </wp:positionH>
            <wp:positionV relativeFrom="paragraph">
              <wp:posOffset>254963</wp:posOffset>
            </wp:positionV>
            <wp:extent cx="1306890" cy="1238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4813980</wp:posOffset>
            </wp:positionH>
            <wp:positionV relativeFrom="paragraph">
              <wp:posOffset>247214</wp:posOffset>
            </wp:positionV>
            <wp:extent cx="1748631" cy="1238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3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sz w:val="5"/>
        </w:rPr>
      </w:pPr>
    </w:p>
    <w:p>
      <w:pPr>
        <w:pStyle w:val="BodyText"/>
        <w:ind w:left="1470"/>
        <w:rPr>
          <w:sz w:val="20"/>
        </w:rPr>
      </w:pPr>
      <w:r>
        <w:rPr>
          <w:sz w:val="20"/>
        </w:rPr>
        <w:drawing>
          <wp:inline distT="0" distB="0" distL="0" distR="0">
            <wp:extent cx="4995663" cy="50006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63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0" w:footer="816" w:top="1240" w:bottom="1000" w:left="1320" w:right="1180"/>
        </w:sectPr>
      </w:pPr>
    </w:p>
    <w:p>
      <w:pPr>
        <w:pStyle w:val="BodyText"/>
        <w:spacing w:line="208" w:lineRule="auto" w:before="130"/>
        <w:ind w:left="1759" w:right="-3"/>
      </w:pPr>
      <w:r>
        <w:rPr>
          <w:b/>
          <w:color w:val="231F20"/>
        </w:rPr>
        <w:t>Searching questions: </w:t>
      </w:r>
      <w:r>
        <w:rPr>
          <w:color w:val="231F20"/>
        </w:rPr>
        <w:t>questions that can be answered by yes or no, or in a sentence or two that you can “search out.” Searching questions can be important</w:t>
      </w:r>
    </w:p>
    <w:p>
      <w:pPr>
        <w:pStyle w:val="BodyText"/>
        <w:spacing w:line="208" w:lineRule="auto"/>
        <w:ind w:left="1759" w:right="236"/>
      </w:pPr>
      <w:r>
        <w:rPr>
          <w:color w:val="231F20"/>
        </w:rPr>
        <w:t>as well, but don’t lead to the exploration of diverse points of view or multiple responses/ solutions.</w:t>
      </w:r>
    </w:p>
    <w:p>
      <w:pPr>
        <w:pStyle w:val="BodyText"/>
        <w:spacing w:line="223" w:lineRule="auto" w:before="117"/>
        <w:ind w:left="755" w:right="502"/>
      </w:pPr>
      <w:r>
        <w:rPr/>
        <w:br w:type="column"/>
      </w:r>
      <w:r>
        <w:rPr>
          <w:b/>
          <w:color w:val="231F20"/>
        </w:rPr>
        <w:t>Powerful questions: </w:t>
      </w:r>
      <w:r>
        <w:rPr>
          <w:color w:val="231F20"/>
        </w:rPr>
        <w:t>questions that ask “How,” “Why,” “What would happen if…,” or “Evaluate whether….” These questions can have multiple responses and viewpoints.</w:t>
      </w:r>
    </w:p>
    <w:p>
      <w:pPr>
        <w:spacing w:after="0" w:line="223" w:lineRule="auto"/>
        <w:sectPr>
          <w:type w:val="continuous"/>
          <w:pgSz w:w="12240" w:h="15840"/>
          <w:pgMar w:top="0" w:bottom="1000" w:left="1320" w:right="1180"/>
          <w:cols w:num="2" w:equalWidth="0">
            <w:col w:w="5112" w:space="40"/>
            <w:col w:w="458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08" w:lineRule="auto" w:before="131" w:after="0"/>
        <w:ind w:left="1469" w:right="620" w:hanging="360"/>
        <w:jc w:val="both"/>
        <w:rPr>
          <w:sz w:val="22"/>
        </w:rPr>
      </w:pPr>
      <w:r>
        <w:rPr>
          <w:color w:val="231F20"/>
          <w:sz w:val="22"/>
        </w:rPr>
        <w:t>Ask students to choose a topic and give examples of “searching questions” using the prompts at the less powerful end of the continuum (which, who, when,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etc.).</w:t>
      </w: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40" w:lineRule="auto" w:before="57" w:after="0"/>
        <w:ind w:left="1469" w:right="0" w:hanging="360"/>
        <w:jc w:val="both"/>
        <w:rPr>
          <w:sz w:val="22"/>
        </w:rPr>
      </w:pPr>
      <w:r>
        <w:rPr>
          <w:color w:val="231F20"/>
          <w:sz w:val="22"/>
        </w:rPr>
        <w:t>Ask students to give examples of powerful questions around the chosen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topic</w:t>
      </w: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40" w:lineRule="auto" w:before="51" w:after="0"/>
        <w:ind w:left="1469" w:right="0" w:hanging="360"/>
        <w:jc w:val="both"/>
        <w:rPr>
          <w:sz w:val="22"/>
        </w:rPr>
      </w:pPr>
      <w:r>
        <w:rPr>
          <w:color w:val="231F20"/>
          <w:sz w:val="22"/>
        </w:rPr>
        <w:t>Discuss why powerful questions are more interesting to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explore.</w:t>
      </w: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23" w:lineRule="auto" w:before="67" w:after="0"/>
        <w:ind w:left="1469" w:right="1247" w:hanging="360"/>
        <w:jc w:val="both"/>
        <w:rPr>
          <w:sz w:val="22"/>
        </w:rPr>
      </w:pPr>
      <w:r>
        <w:rPr>
          <w:color w:val="231F20"/>
          <w:spacing w:val="-5"/>
          <w:sz w:val="22"/>
        </w:rPr>
        <w:t>Tell </w:t>
      </w:r>
      <w:r>
        <w:rPr>
          <w:color w:val="231F20"/>
          <w:sz w:val="22"/>
        </w:rPr>
        <w:t>students that in this unit they will be asked to generate powerful questions.</w:t>
      </w:r>
    </w:p>
    <w:p>
      <w:pPr>
        <w:pStyle w:val="BodyText"/>
        <w:spacing w:before="3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3290313</wp:posOffset>
            </wp:positionH>
            <wp:positionV relativeFrom="paragraph">
              <wp:posOffset>130742</wp:posOffset>
            </wp:positionV>
            <wp:extent cx="1124222" cy="39347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222" cy="393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uto" w:before="65"/>
        <w:ind w:left="3771" w:right="535" w:hanging="3302"/>
        <w:jc w:val="left"/>
        <w:rPr>
          <w:sz w:val="16"/>
        </w:rPr>
      </w:pPr>
      <w:r>
        <w:rPr>
          <w:color w:val="231F20"/>
          <w:sz w:val="16"/>
        </w:rPr>
        <w:t>This work is licensed under a </w:t>
      </w:r>
      <w:hyperlink r:id="rId18">
        <w:r>
          <w:rPr>
            <w:color w:val="205E9E"/>
            <w:sz w:val="16"/>
            <w:u w:val="single" w:color="205E9E"/>
          </w:rPr>
          <w:t>Creative Commons Attribution-NonCommercial-ShareAlike 4.0 International License</w:t>
        </w:r>
      </w:hyperlink>
      <w:r>
        <w:rPr>
          <w:color w:val="205E9E"/>
          <w:sz w:val="16"/>
        </w:rPr>
        <w:t> </w:t>
      </w:r>
      <w:r>
        <w:rPr>
          <w:color w:val="231F20"/>
          <w:sz w:val="16"/>
        </w:rPr>
        <w:t>unless otherwise indicated.</w:t>
      </w:r>
    </w:p>
    <w:sectPr>
      <w:type w:val="continuous"/>
      <w:pgSz w:w="12240" w:h="15840"/>
      <w:pgMar w:top="0" w:bottom="1000" w:left="13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Sans-Semibold">
    <w:altName w:val="OpenSans-Semibol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0.179199pt;width:251.9pt;height:17pt;mso-position-horizontal-relative:page;mso-position-vertical-relative:page;z-index:-15902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b/>
                    <w:color w:val="B6AA38"/>
                  </w:rPr>
                  <w:t>Inquiry: </w:t>
                </w:r>
                <w:r>
                  <w:rPr>
                    <w:color w:val="003044"/>
                  </w:rPr>
                  <w:t>Who Lives in the Great Bear Rainforest?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713989pt;margin-top:740.179199pt;width:12.3pt;height:17pt;mso-position-horizontal-relative:page;mso-position-vertical-relative:page;z-index:-15901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469" w:hanging="360"/>
        <w:jc w:val="left"/>
      </w:pPr>
      <w:rPr>
        <w:rFonts w:hint="default" w:ascii="Open Sans" w:hAnsi="Open Sans" w:eastAsia="Open Sans" w:cs="Open Sans"/>
        <w:color w:val="231F20"/>
        <w:spacing w:val="-1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749" w:hanging="450"/>
      </w:pPr>
      <w:rPr>
        <w:rFonts w:hint="default" w:ascii="Arial" w:hAnsi="Arial" w:eastAsia="Arial" w:cs="Arial"/>
        <w:color w:val="231F20"/>
        <w:w w:val="12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0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4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79" w:hanging="360"/>
      </w:pPr>
      <w:rPr>
        <w:rFonts w:hint="default" w:ascii="Open Sans" w:hAnsi="Open Sans" w:eastAsia="Open Sans" w:cs="Open Sans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▪"/>
      <w:lvlJc w:val="left"/>
      <w:pPr>
        <w:ind w:left="749" w:hanging="360"/>
      </w:pPr>
      <w:rPr>
        <w:rFonts w:hint="default" w:ascii="Arial" w:hAnsi="Arial" w:eastAsia="Arial" w:cs="Arial"/>
        <w:color w:val="231F20"/>
        <w:w w:val="12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749" w:hanging="450"/>
      </w:pPr>
      <w:rPr>
        <w:rFonts w:hint="default" w:ascii="Arial" w:hAnsi="Arial" w:eastAsia="Arial" w:cs="Arial"/>
        <w:color w:val="231F20"/>
        <w:w w:val="129"/>
        <w:sz w:val="22"/>
        <w:szCs w:val="22"/>
        <w:lang w:val="en-us" w:eastAsia="en-US" w:bidi="ar-SA"/>
      </w:rPr>
    </w:lvl>
    <w:lvl w:ilvl="1">
      <w:start w:val="0"/>
      <w:numFmt w:val="bullet"/>
      <w:lvlText w:val="▪"/>
      <w:lvlJc w:val="left"/>
      <w:pPr>
        <w:ind w:left="749" w:hanging="360"/>
      </w:pPr>
      <w:rPr>
        <w:rFonts w:hint="default" w:ascii="Arial" w:hAnsi="Arial" w:eastAsia="Arial" w:cs="Arial"/>
        <w:color w:val="231F20"/>
        <w:w w:val="12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49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02" w:lineRule="exact"/>
      <w:ind w:left="120"/>
      <w:outlineLvl w:val="1"/>
    </w:pPr>
    <w:rPr>
      <w:rFonts w:ascii="OpenSans-Semibold" w:hAnsi="OpenSans-Semibold" w:eastAsia="OpenSans-Semibold" w:cs="OpenSans-Semibold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Open Sans" w:hAnsi="Open Sans" w:eastAsia="Open Sans" w:cs="Open Sans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65"/>
      <w:ind w:left="120"/>
      <w:outlineLvl w:val="3"/>
    </w:pPr>
    <w:rPr>
      <w:rFonts w:ascii="OpenSans-Semibold" w:hAnsi="OpenSans-Semibold" w:eastAsia="OpenSans-Semibold" w:cs="OpenSans-Semibold"/>
      <w:b/>
      <w:bCs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75"/>
      <w:ind w:left="120"/>
      <w:outlineLvl w:val="4"/>
    </w:pPr>
    <w:rPr>
      <w:rFonts w:ascii="OpenSans-Semibold" w:hAnsi="OpenSans-Semibold" w:eastAsia="OpenSans-Semibold" w:cs="OpenSans-Semibold"/>
      <w:b/>
      <w:b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Open Sans" w:hAnsi="Open Sans" w:eastAsia="Open Sans" w:cs="Open Sans"/>
      <w:b/>
      <w:bCs/>
      <w:sz w:val="24"/>
      <w:szCs w:val="24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48" w:line="280" w:lineRule="exact"/>
      <w:ind w:left="120"/>
      <w:outlineLvl w:val="6"/>
    </w:pPr>
    <w:rPr>
      <w:rFonts w:ascii="Open Sans" w:hAnsi="Open Sans" w:eastAsia="Open Sans" w:cs="Open San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Open Sans" w:hAnsi="Open Sans" w:eastAsia="Open Sans" w:cs="Open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749" w:hanging="451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 w:line="310" w:lineRule="exact"/>
      <w:ind w:left="508"/>
    </w:pPr>
    <w:rPr>
      <w:rFonts w:ascii="Open Sans" w:hAnsi="Open Sans" w:eastAsia="Open Sans" w:cs="Open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youtube.com/watch?time_continue=52&amp;v=j7KJF_l71KE" TargetMode="External"/><Relationship Id="rId7" Type="http://schemas.openxmlformats.org/officeDocument/2006/relationships/hyperlink" Target="https://www.thecanadianencyclopedia.ca/" TargetMode="External"/><Relationship Id="rId8" Type="http://schemas.openxmlformats.org/officeDocument/2006/relationships/hyperlink" Target="http://www.bced.gov.bc.ca/apps/imcl/imclWeb/AB.do" TargetMode="External"/><Relationship Id="rId9" Type="http://schemas.openxmlformats.org/officeDocument/2006/relationships/hyperlink" Target="https://apps.gov.bc.ca/pub/dmf-viewer/?siteid=5228028621212382210" TargetMode="External"/><Relationship Id="rId10" Type="http://schemas.openxmlformats.org/officeDocument/2006/relationships/hyperlink" Target="https://www.seasketch.org/%23projecthomepage/50e58ab28aba4075183f8fc0" TargetMode="External"/><Relationship Id="rId11" Type="http://schemas.openxmlformats.org/officeDocument/2006/relationships/hyperlink" Target="http://bcgov03.maps.arcgis.com/apps/webappviewer/index.html?id=6fcc0a171c024bd793032ed140d7bac4" TargetMode="External"/><Relationship Id="rId12" Type="http://schemas.openxmlformats.org/officeDocument/2006/relationships/hyperlink" Target="https://governmentofbc.maps.arcgis.com/home/webmap/viewer.html?webmap=ffd0fc24f8654e82ad723c012d00b806" TargetMode="External"/><Relationship Id="rId13" Type="http://schemas.openxmlformats.org/officeDocument/2006/relationships/hyperlink" Target="http://www.openschool.bc.ca/elementary/my_seasonal_round/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hyperlink" Target="https://creativecommons.org/licenses/by-sa/4.0/legalcode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2020-11-28T17:32:34Z</dcterms:created>
  <dcterms:modified xsi:type="dcterms:W3CDTF">2020-11-28T17:32:34Z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2020-11-28T00:00:00Z</vt:filetime>
  </property>
</Properties>
</file>